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87" w:rsidRPr="00EC1B90" w:rsidRDefault="00EE4587" w:rsidP="00EE4587">
      <w:pPr>
        <w:shd w:val="clear" w:color="auto" w:fill="FFFFFF"/>
        <w:spacing w:before="120" w:after="0" w:line="200" w:lineRule="atLeast"/>
        <w:ind w:firstLine="0"/>
        <w:jc w:val="center"/>
        <w:rPr>
          <w:rFonts w:ascii="Verdana" w:eastAsia="Times New Roman" w:hAnsi="Verdana"/>
          <w:noProof w:val="0"/>
          <w:color w:val="000000"/>
          <w:sz w:val="15"/>
          <w:szCs w:val="15"/>
        </w:rPr>
      </w:pPr>
      <w:bookmarkStart w:id="0" w:name="chuong_phuluc_32_name"/>
      <w:r w:rsidRPr="00EC1B90">
        <w:rPr>
          <w:rFonts w:ascii="Arial" w:eastAsia="Times New Roman" w:hAnsi="Arial" w:cs="Arial"/>
          <w:noProof w:val="0"/>
          <w:color w:val="000000"/>
          <w:sz w:val="20"/>
          <w:szCs w:val="20"/>
          <w:lang w:val="vi-VN"/>
        </w:rPr>
        <w:t>DANH MỤC CÁC DỰ ÁN THUỘC THẨM QUYỀN XÁC NHẬN ĐĂNG KÝ KẾ HOẠCH BẢO VỆ MÔI TRƯỜNG CỦA SỞ TÀI NGUYÊN VÀ MÔI TRƯỜNG</w:t>
      </w:r>
      <w:bookmarkEnd w:id="0"/>
      <w:r w:rsidRPr="00EC1B90">
        <w:rPr>
          <w:rFonts w:ascii="Arial" w:eastAsia="Times New Roman" w:hAnsi="Arial" w:cs="Arial"/>
          <w:noProof w:val="0"/>
          <w:color w:val="000000"/>
          <w:sz w:val="20"/>
          <w:szCs w:val="20"/>
          <w:lang w:val="vi-VN"/>
        </w:rPr>
        <w:br/>
      </w:r>
      <w:r w:rsidRPr="00EC1B90">
        <w:rPr>
          <w:rFonts w:ascii="Arial" w:eastAsia="Times New Roman" w:hAnsi="Arial" w:cs="Arial"/>
          <w:i/>
          <w:iCs/>
          <w:noProof w:val="0"/>
          <w:color w:val="000000"/>
          <w:sz w:val="20"/>
          <w:szCs w:val="20"/>
          <w:lang w:val="vi-VN"/>
        </w:rPr>
        <w:t>(Ban hành kèm theo Thông tư số 27/2015/TT-BTNMT ngày 29 tháng 5 năm 2015 của Bộ trưởng Bộ Tài nguyên và Môi trường về đánh giá môi trường chiến lược, đánh giá tác động môi trường và kế hoạch bảo vệ môi trường)</w:t>
      </w:r>
    </w:p>
    <w:p w:rsidR="00EE4587" w:rsidRPr="00EC1B90" w:rsidRDefault="00EE4587" w:rsidP="00EE4587">
      <w:pPr>
        <w:shd w:val="clear" w:color="auto" w:fill="FFFFFF"/>
        <w:spacing w:before="120" w:after="0" w:line="200" w:lineRule="atLeast"/>
        <w:ind w:firstLine="0"/>
        <w:jc w:val="left"/>
        <w:rPr>
          <w:rFonts w:ascii="Verdana" w:eastAsia="Times New Roman" w:hAnsi="Verdana"/>
          <w:noProof w:val="0"/>
          <w:color w:val="000000"/>
          <w:sz w:val="15"/>
          <w:szCs w:val="15"/>
        </w:rPr>
      </w:pPr>
      <w:r w:rsidRPr="00EC1B90">
        <w:rPr>
          <w:rFonts w:ascii="Arial" w:eastAsia="Times New Roman" w:hAnsi="Arial" w:cs="Arial"/>
          <w:noProof w:val="0"/>
          <w:color w:val="000000"/>
          <w:sz w:val="20"/>
          <w:szCs w:val="20"/>
          <w:lang w:val="vi-VN"/>
        </w:rPr>
        <w:t>Tất cả các dự án thuộc đối tượng lập kế hoạch bảo vệ môi trường quy định tại Khoản 1 Điều 18 Nghị định số 18/2015/NĐ-CP thuộc các loại hình và quy mô sau:</w:t>
      </w:r>
    </w:p>
    <w:tbl>
      <w:tblPr>
        <w:tblW w:w="0" w:type="dxa"/>
        <w:tblCellSpacing w:w="0" w:type="dxa"/>
        <w:shd w:val="clear" w:color="auto" w:fill="FFFFFF"/>
        <w:tblCellMar>
          <w:left w:w="0" w:type="dxa"/>
          <w:right w:w="0" w:type="dxa"/>
        </w:tblCellMar>
        <w:tblLook w:val="04A0"/>
      </w:tblPr>
      <w:tblGrid>
        <w:gridCol w:w="370"/>
        <w:gridCol w:w="3146"/>
        <w:gridCol w:w="5550"/>
      </w:tblGrid>
      <w:tr w:rsidR="00EE4587" w:rsidRPr="00EC1B90" w:rsidTr="00655014">
        <w:trPr>
          <w:tblCellSpacing w:w="0" w:type="dxa"/>
        </w:trPr>
        <w:tc>
          <w:tcPr>
            <w:tcW w:w="2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b/>
                <w:bCs/>
                <w:noProof w:val="0"/>
                <w:color w:val="000000"/>
                <w:sz w:val="20"/>
                <w:szCs w:val="20"/>
                <w:lang w:val="vi-VN"/>
              </w:rPr>
              <w:t>TT</w:t>
            </w:r>
          </w:p>
        </w:tc>
        <w:tc>
          <w:tcPr>
            <w:tcW w:w="17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b/>
                <w:bCs/>
                <w:noProof w:val="0"/>
                <w:color w:val="000000"/>
                <w:sz w:val="20"/>
                <w:szCs w:val="20"/>
                <w:lang w:val="vi-VN"/>
              </w:rPr>
              <w:t>Dự án</w:t>
            </w:r>
          </w:p>
        </w:tc>
        <w:tc>
          <w:tcPr>
            <w:tcW w:w="3000" w:type="pct"/>
            <w:tcBorders>
              <w:top w:val="single" w:sz="8" w:space="0" w:color="auto"/>
              <w:left w:val="single" w:sz="8" w:space="0" w:color="auto"/>
              <w:bottom w:val="nil"/>
              <w:right w:val="single" w:sz="8" w:space="0" w:color="auto"/>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b/>
                <w:bCs/>
                <w:noProof w:val="0"/>
                <w:color w:val="000000"/>
                <w:sz w:val="20"/>
                <w:szCs w:val="20"/>
                <w:lang w:val="vi-VN"/>
              </w:rPr>
              <w:t>Quy mô</w:t>
            </w:r>
          </w:p>
        </w:tc>
      </w:tr>
      <w:tr w:rsidR="00EE4587" w:rsidRPr="00EC1B90" w:rsidTr="00655014">
        <w:trPr>
          <w:tblCellSpacing w:w="0" w:type="dxa"/>
        </w:trPr>
        <w:tc>
          <w:tcPr>
            <w:tcW w:w="2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w:t>
            </w:r>
          </w:p>
        </w:tc>
        <w:tc>
          <w:tcPr>
            <w:tcW w:w="17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nằm trên địa bàn 02 huyện trở lên</w:t>
            </w:r>
          </w:p>
        </w:tc>
        <w:tc>
          <w:tcPr>
            <w:tcW w:w="3000" w:type="pct"/>
            <w:tcBorders>
              <w:top w:val="single" w:sz="8" w:space="0" w:color="auto"/>
              <w:left w:val="single" w:sz="8" w:space="0" w:color="auto"/>
              <w:bottom w:val="nil"/>
              <w:right w:val="single" w:sz="8" w:space="0" w:color="auto"/>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w:t>
            </w:r>
          </w:p>
        </w:tc>
      </w:tr>
      <w:tr w:rsidR="00EE4587" w:rsidRPr="00EC1B90" w:rsidTr="00655014">
        <w:trPr>
          <w:tblCellSpacing w:w="0" w:type="dxa"/>
        </w:trPr>
        <w:tc>
          <w:tcPr>
            <w:tcW w:w="2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w:t>
            </w:r>
          </w:p>
        </w:tc>
        <w:tc>
          <w:tcPr>
            <w:tcW w:w="17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trên vùng biển có chất thải đưa vào địa bàn tỉnh xử lý</w:t>
            </w:r>
          </w:p>
        </w:tc>
        <w:tc>
          <w:tcPr>
            <w:tcW w:w="3000" w:type="pct"/>
            <w:tcBorders>
              <w:top w:val="single" w:sz="8" w:space="0" w:color="auto"/>
              <w:left w:val="single" w:sz="8" w:space="0" w:color="auto"/>
              <w:bottom w:val="nil"/>
              <w:right w:val="single" w:sz="8" w:space="0" w:color="auto"/>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w:t>
            </w:r>
          </w:p>
        </w:tc>
      </w:tr>
      <w:tr w:rsidR="00EE4587" w:rsidRPr="00EC1B90" w:rsidTr="00655014">
        <w:trPr>
          <w:tblCellSpacing w:w="0" w:type="dxa"/>
        </w:trPr>
        <w:tc>
          <w:tcPr>
            <w:tcW w:w="2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3.</w:t>
            </w:r>
          </w:p>
        </w:tc>
        <w:tc>
          <w:tcPr>
            <w:tcW w:w="17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có sử dụng đất của khu di tích lịch sử - văn hóa; khu danh lam thắng cảnh đã được xếp hạng cấp tỉnh;</w:t>
            </w:r>
          </w:p>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làm mất rừng; chuyển đổi mục đích sử dụng đất rừng; chuyển đổi mục đích đất trồng lúa</w:t>
            </w:r>
          </w:p>
        </w:tc>
        <w:tc>
          <w:tcPr>
            <w:tcW w:w="3000" w:type="pct"/>
            <w:tcBorders>
              <w:top w:val="single" w:sz="8" w:space="0" w:color="auto"/>
              <w:left w:val="single" w:sz="8" w:space="0" w:color="auto"/>
              <w:bottom w:val="nil"/>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đối với dự án có sử dụng đất của khu di tích lịch sử - văn hóa; khu danh lam thắng cảnh đã được xếp hạng cấp tỉnh;</w:t>
            </w:r>
          </w:p>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br/>
              <w:t>Tất cả các đối tượng dưới 5 ha đối với rừng phòng hộ, rừng đặc dụng;</w:t>
            </w:r>
          </w:p>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Từ 01 ha đến dưới 10 ha đối với rừng tự nhiên;</w:t>
            </w:r>
          </w:p>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Từ 10 ha đến dưới 50 ha đối với các loại rừng khác;</w:t>
            </w:r>
          </w:p>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Từ 01 ha đến dưới 5 ha đối với đất trồng lúa chuyển đổi sang đất phi nông nghiệp</w:t>
            </w:r>
          </w:p>
        </w:tc>
      </w:tr>
      <w:tr w:rsidR="00EE4587" w:rsidRPr="00EC1B90" w:rsidTr="00655014">
        <w:trPr>
          <w:tblCellSpacing w:w="0" w:type="dxa"/>
        </w:trPr>
        <w:tc>
          <w:tcPr>
            <w:tcW w:w="2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4.</w:t>
            </w:r>
          </w:p>
        </w:tc>
        <w:tc>
          <w:tcPr>
            <w:tcW w:w="17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khám chữa bệnh và cơ sở y tế khác</w:t>
            </w:r>
          </w:p>
        </w:tc>
        <w:tc>
          <w:tcPr>
            <w:tcW w:w="3000" w:type="pct"/>
            <w:tcBorders>
              <w:top w:val="single" w:sz="8" w:space="0" w:color="auto"/>
              <w:left w:val="single" w:sz="8" w:space="0" w:color="auto"/>
              <w:bottom w:val="nil"/>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Dưới 50 giường bệnh</w:t>
            </w:r>
          </w:p>
        </w:tc>
      </w:tr>
      <w:tr w:rsidR="00EE4587" w:rsidRPr="00EC1B90" w:rsidTr="00655014">
        <w:trPr>
          <w:tblCellSpacing w:w="0" w:type="dxa"/>
        </w:trPr>
        <w:tc>
          <w:tcPr>
            <w:tcW w:w="2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5.</w:t>
            </w:r>
          </w:p>
        </w:tc>
        <w:tc>
          <w:tcPr>
            <w:tcW w:w="17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clinker</w:t>
            </w:r>
          </w:p>
        </w:tc>
        <w:tc>
          <w:tcPr>
            <w:tcW w:w="3000" w:type="pct"/>
            <w:tcBorders>
              <w:top w:val="single" w:sz="8" w:space="0" w:color="auto"/>
              <w:left w:val="single" w:sz="8" w:space="0" w:color="auto"/>
              <w:bottom w:val="nil"/>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các dự án xây dựng cơ sở sản xuất clinker công suất dưới 500.000 tấn clinker/năm</w:t>
            </w:r>
          </w:p>
        </w:tc>
      </w:tr>
      <w:tr w:rsidR="00EE4587" w:rsidRPr="00EC1B90" w:rsidTr="00655014">
        <w:trPr>
          <w:tblCellSpacing w:w="0" w:type="dxa"/>
        </w:trPr>
        <w:tc>
          <w:tcPr>
            <w:tcW w:w="2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6.</w:t>
            </w:r>
          </w:p>
        </w:tc>
        <w:tc>
          <w:tcPr>
            <w:tcW w:w="1700" w:type="pct"/>
            <w:tcBorders>
              <w:top w:val="single" w:sz="8" w:space="0" w:color="auto"/>
              <w:left w:val="single" w:sz="8" w:space="0" w:color="auto"/>
              <w:bottom w:val="nil"/>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tấm lợp fibro xi măng</w:t>
            </w:r>
          </w:p>
        </w:tc>
        <w:tc>
          <w:tcPr>
            <w:tcW w:w="3000" w:type="pct"/>
            <w:tcBorders>
              <w:top w:val="single" w:sz="8" w:space="0" w:color="auto"/>
              <w:left w:val="single" w:sz="8" w:space="0" w:color="auto"/>
              <w:bottom w:val="nil"/>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Dưới 500.000 m</w:t>
            </w:r>
            <w:r w:rsidRPr="00EC1B90">
              <w:rPr>
                <w:rFonts w:ascii="Arial" w:eastAsia="Times New Roman" w:hAnsi="Arial" w:cs="Arial"/>
                <w:noProof w:val="0"/>
                <w:color w:val="000000"/>
                <w:sz w:val="20"/>
                <w:szCs w:val="20"/>
                <w:vertAlign w:val="superscript"/>
                <w:lang w:val="vi-VN"/>
              </w:rPr>
              <w:t>2</w:t>
            </w:r>
            <w:r w:rsidRPr="00EC1B90">
              <w:rPr>
                <w:rFonts w:ascii="Arial" w:eastAsia="Times New Roman" w:hAnsi="Arial" w:cs="Arial"/>
                <w:noProof w:val="0"/>
                <w:color w:val="000000"/>
                <w:sz w:val="20"/>
                <w:lang w:val="vi-VN"/>
              </w:rPr>
              <w:t> </w:t>
            </w:r>
            <w:r w:rsidRPr="00EC1B90">
              <w:rPr>
                <w:rFonts w:ascii="Arial" w:eastAsia="Times New Roman" w:hAnsi="Arial" w:cs="Arial"/>
                <w:noProof w:val="0"/>
                <w:color w:val="000000"/>
                <w:sz w:val="20"/>
                <w:szCs w:val="20"/>
                <w:lang w:val="vi-VN"/>
              </w:rPr>
              <w:t>tấm lợp fibro xi măng/năm</w:t>
            </w:r>
          </w:p>
        </w:tc>
      </w:tr>
      <w:tr w:rsidR="00EE4587" w:rsidRPr="00EC1B90" w:rsidTr="00655014">
        <w:trPr>
          <w:tblCellSpacing w:w="0" w:type="dxa"/>
        </w:trPr>
        <w:tc>
          <w:tcPr>
            <w:tcW w:w="200" w:type="pct"/>
            <w:tcBorders>
              <w:top w:val="single" w:sz="8" w:space="0" w:color="auto"/>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7.</w:t>
            </w:r>
          </w:p>
        </w:tc>
        <w:tc>
          <w:tcPr>
            <w:tcW w:w="1700" w:type="pct"/>
            <w:tcBorders>
              <w:top w:val="single" w:sz="8" w:space="0" w:color="auto"/>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cảng sông, cảng biển</w:t>
            </w:r>
          </w:p>
        </w:tc>
        <w:tc>
          <w:tcPr>
            <w:tcW w:w="3000" w:type="pct"/>
            <w:tcBorders>
              <w:top w:val="single" w:sz="8" w:space="0" w:color="auto"/>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các dự án xây dựng cảng tiếp nhận tàu trọng tải dưới 1.000 DWT</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8.</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nhà máy thủy điện</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các dự án xây dựng hồ chứa có dung tích dưới 100.000 m³ nước hoặc công suất dưới 10 MW</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9.</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công trình hồ chứa nước</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các dự án có dung tích hồ chứa dưới 100.000 m³ nước</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10.</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khai thác cát hoặc nạo vét lòng sông, cửa biển</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50.000 m³ vật liệu nguyên khai/năm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11.</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khai thác k</w:t>
            </w:r>
            <w:r w:rsidRPr="00EC1B90">
              <w:rPr>
                <w:rFonts w:ascii="Arial" w:eastAsia="Times New Roman" w:hAnsi="Arial" w:cs="Arial"/>
                <w:noProof w:val="0"/>
                <w:color w:val="000000"/>
                <w:sz w:val="20"/>
                <w:szCs w:val="20"/>
                <w:shd w:val="clear" w:color="auto" w:fill="FFFFFF"/>
                <w:lang w:val="vi-VN"/>
              </w:rPr>
              <w:t>hoán</w:t>
            </w:r>
            <w:r w:rsidRPr="00EC1B90">
              <w:rPr>
                <w:rFonts w:ascii="Arial" w:eastAsia="Times New Roman" w:hAnsi="Arial" w:cs="Arial"/>
                <w:noProof w:val="0"/>
                <w:color w:val="000000"/>
                <w:sz w:val="20"/>
                <w:szCs w:val="20"/>
                <w:lang w:val="vi-VN"/>
              </w:rPr>
              <w:t>g sản rắn (không sử dụng các chất độc hại, hóa chất hoặc vật liệu nổ công nghiệp)</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đối với dự án có khối lượng mỏ (bao gồm k</w:t>
            </w:r>
            <w:r w:rsidRPr="00EC1B90">
              <w:rPr>
                <w:rFonts w:ascii="Arial" w:eastAsia="Times New Roman" w:hAnsi="Arial" w:cs="Arial"/>
                <w:noProof w:val="0"/>
                <w:color w:val="000000"/>
                <w:sz w:val="20"/>
                <w:szCs w:val="20"/>
                <w:shd w:val="clear" w:color="auto" w:fill="FFFFFF"/>
                <w:lang w:val="vi-VN"/>
              </w:rPr>
              <w:t>hoán</w:t>
            </w:r>
            <w:r w:rsidRPr="00EC1B90">
              <w:rPr>
                <w:rFonts w:ascii="Arial" w:eastAsia="Times New Roman" w:hAnsi="Arial" w:cs="Arial"/>
                <w:noProof w:val="0"/>
                <w:color w:val="000000"/>
                <w:sz w:val="20"/>
                <w:szCs w:val="20"/>
                <w:lang w:val="vi-VN"/>
              </w:rPr>
              <w:t>g sản và đất đá thải) dưới 50.000 m³ nguyên khai/năm hoặc có tổng khối lượng mỏ (bao gồm k</w:t>
            </w:r>
            <w:r w:rsidRPr="00EC1B90">
              <w:rPr>
                <w:rFonts w:ascii="Arial" w:eastAsia="Times New Roman" w:hAnsi="Arial" w:cs="Arial"/>
                <w:noProof w:val="0"/>
                <w:color w:val="000000"/>
                <w:sz w:val="20"/>
                <w:szCs w:val="20"/>
                <w:shd w:val="clear" w:color="auto" w:fill="FFFFFF"/>
                <w:lang w:val="vi-VN"/>
              </w:rPr>
              <w:t>hoán</w:t>
            </w:r>
            <w:r w:rsidRPr="00EC1B90">
              <w:rPr>
                <w:rFonts w:ascii="Arial" w:eastAsia="Times New Roman" w:hAnsi="Arial" w:cs="Arial"/>
                <w:noProof w:val="0"/>
                <w:color w:val="000000"/>
                <w:sz w:val="20"/>
                <w:szCs w:val="20"/>
                <w:lang w:val="vi-VN"/>
              </w:rPr>
              <w:t>g sản và đất đá thải) dưới 1.000.000 m³ nguyên khối</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12.</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chế biến k</w:t>
            </w:r>
            <w:r w:rsidRPr="00EC1B90">
              <w:rPr>
                <w:rFonts w:ascii="Arial" w:eastAsia="Times New Roman" w:hAnsi="Arial" w:cs="Arial"/>
                <w:noProof w:val="0"/>
                <w:color w:val="000000"/>
                <w:sz w:val="20"/>
                <w:szCs w:val="20"/>
                <w:shd w:val="clear" w:color="auto" w:fill="FFFFFF"/>
                <w:lang w:val="vi-VN"/>
              </w:rPr>
              <w:t>hoán</w:t>
            </w:r>
            <w:r w:rsidRPr="00EC1B90">
              <w:rPr>
                <w:rFonts w:ascii="Arial" w:eastAsia="Times New Roman" w:hAnsi="Arial" w:cs="Arial"/>
                <w:noProof w:val="0"/>
                <w:color w:val="000000"/>
                <w:sz w:val="20"/>
                <w:szCs w:val="20"/>
                <w:lang w:val="vi-VN"/>
              </w:rPr>
              <w:t>g sản rắn không sử dụng các chất độc hại, hóa chất</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50.000 m³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13.</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tuyến, làm giàu đất hiếm, k</w:t>
            </w:r>
            <w:r w:rsidRPr="00EC1B90">
              <w:rPr>
                <w:rFonts w:ascii="Arial" w:eastAsia="Times New Roman" w:hAnsi="Arial" w:cs="Arial"/>
                <w:noProof w:val="0"/>
                <w:color w:val="000000"/>
                <w:sz w:val="20"/>
                <w:szCs w:val="20"/>
                <w:shd w:val="clear" w:color="auto" w:fill="FFFFFF"/>
                <w:lang w:val="vi-VN"/>
              </w:rPr>
              <w:t>hoán</w:t>
            </w:r>
            <w:r w:rsidRPr="00EC1B90">
              <w:rPr>
                <w:rFonts w:ascii="Arial" w:eastAsia="Times New Roman" w:hAnsi="Arial" w:cs="Arial"/>
                <w:noProof w:val="0"/>
                <w:color w:val="000000"/>
                <w:sz w:val="20"/>
                <w:szCs w:val="20"/>
                <w:lang w:val="vi-VN"/>
              </w:rPr>
              <w:t>g sản có tính phóng xạ</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các dự án có công suất dưới 500 tấn sản phẩm/</w:t>
            </w:r>
            <w:r w:rsidRPr="00EC1B90">
              <w:rPr>
                <w:rFonts w:ascii="Arial" w:eastAsia="Times New Roman" w:hAnsi="Arial" w:cs="Arial"/>
                <w:noProof w:val="0"/>
                <w:color w:val="000000"/>
                <w:sz w:val="20"/>
                <w:szCs w:val="20"/>
                <w:shd w:val="clear" w:color="auto" w:fill="FFFFFF"/>
                <w:lang w:val="vi-VN"/>
              </w:rPr>
              <w:t>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14.</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tái chế, xử lý, chôn lấp hoặc tiêu hủy chất thải rắn thông thường</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các dự án có công suất từ 05 đến dưới 10 tấn chất thải rắn thông thường/ngày</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lastRenderedPageBreak/>
              <w:t>15.</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nhà máy luyện kim</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đối với dự án sử dụng nguyên liệu không phải là phế liệu có công suất dưới 1.000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16.</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cán thép</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đối với dự án sử dụng nguyên liệu không phải là phế liệu có công suất dưới 2.000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17.</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đóng mới, sửa chữa tàu thủy</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đối với tàu có trọng tải dưới 1.000 DWT</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18.</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w:t>
            </w:r>
            <w:r w:rsidRPr="00EC1B90">
              <w:rPr>
                <w:rFonts w:ascii="Arial" w:eastAsia="Times New Roman" w:hAnsi="Arial" w:cs="Arial"/>
                <w:noProof w:val="0"/>
                <w:color w:val="000000"/>
                <w:sz w:val="20"/>
                <w:lang w:val="vi-VN"/>
              </w:rPr>
              <w:t> </w:t>
            </w:r>
            <w:r w:rsidRPr="00EC1B90">
              <w:rPr>
                <w:rFonts w:ascii="Arial" w:eastAsia="Times New Roman" w:hAnsi="Arial" w:cs="Arial"/>
                <w:noProof w:val="0"/>
                <w:color w:val="000000"/>
                <w:sz w:val="20"/>
                <w:szCs w:val="20"/>
                <w:shd w:val="clear" w:color="auto" w:fill="FFFFFF"/>
                <w:lang w:val="vi-VN"/>
              </w:rPr>
              <w:t>xuất</w:t>
            </w:r>
            <w:r w:rsidRPr="00EC1B90">
              <w:rPr>
                <w:rFonts w:ascii="Arial" w:eastAsia="Times New Roman" w:hAnsi="Arial" w:cs="Arial"/>
                <w:noProof w:val="0"/>
                <w:color w:val="000000"/>
                <w:sz w:val="20"/>
                <w:szCs w:val="20"/>
                <w:lang w:val="vi-VN"/>
              </w:rPr>
              <w:t>, lắp ráp xe máy, ô tô</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đối với dự án có công suất dưới 5.000 xe máy/</w:t>
            </w:r>
            <w:r w:rsidRPr="00EC1B90">
              <w:rPr>
                <w:rFonts w:ascii="Arial" w:eastAsia="Times New Roman" w:hAnsi="Arial" w:cs="Arial"/>
                <w:noProof w:val="0"/>
                <w:color w:val="000000"/>
                <w:sz w:val="20"/>
                <w:szCs w:val="20"/>
                <w:shd w:val="clear" w:color="auto" w:fill="FFFFFF"/>
                <w:lang w:val="vi-VN"/>
              </w:rPr>
              <w:t>năm</w:t>
            </w:r>
            <w:r w:rsidRPr="00EC1B90">
              <w:rPr>
                <w:rFonts w:ascii="Arial" w:eastAsia="Times New Roman" w:hAnsi="Arial" w:cs="Arial"/>
                <w:noProof w:val="0"/>
                <w:color w:val="000000"/>
                <w:sz w:val="20"/>
                <w:szCs w:val="20"/>
                <w:lang w:val="vi-VN"/>
              </w:rPr>
              <w:t>hoặc dưới 500 ô tô/năm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19.</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chế tạo máy móc, thiết bị công cụ</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những dự án có công suất dưới 1.000 tấn sản</w:t>
            </w:r>
            <w:r w:rsidRPr="00EC1B90">
              <w:rPr>
                <w:rFonts w:ascii="Arial" w:eastAsia="Times New Roman" w:hAnsi="Arial" w:cs="Arial"/>
                <w:noProof w:val="0"/>
                <w:color w:val="000000"/>
                <w:sz w:val="20"/>
                <w:szCs w:val="20"/>
                <w:shd w:val="clear" w:color="auto" w:fill="FFFFFF"/>
                <w:lang w:val="vi-VN"/>
              </w:rPr>
              <w:t>phẩm</w:t>
            </w:r>
            <w:r w:rsidRPr="00EC1B90">
              <w:rPr>
                <w:rFonts w:ascii="Arial" w:eastAsia="Times New Roman" w:hAnsi="Arial" w:cs="Arial"/>
                <w:noProof w:val="0"/>
                <w:color w:val="000000"/>
                <w:sz w:val="20"/>
                <w:szCs w:val="20"/>
                <w:lang w:val="vi-VN"/>
              </w:rPr>
              <w:t>/</w:t>
            </w:r>
            <w:r w:rsidRPr="00EC1B90">
              <w:rPr>
                <w:rFonts w:ascii="Arial" w:eastAsia="Times New Roman" w:hAnsi="Arial" w:cs="Arial"/>
                <w:noProof w:val="0"/>
                <w:color w:val="000000"/>
                <w:sz w:val="20"/>
                <w:szCs w:val="20"/>
                <w:shd w:val="clear" w:color="auto" w:fill="FFFFFF"/>
                <w:lang w:val="vi-VN"/>
              </w:rPr>
              <w:t>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20.</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mạ, phun phủ và đánh bóng kim loại</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đối với dự án có công suất dưới 500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21.</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ván ép</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 các dự án có công suất dưới 100.000 m</w:t>
            </w:r>
            <w:r w:rsidRPr="00EC1B90">
              <w:rPr>
                <w:rFonts w:ascii="Arial" w:eastAsia="Times New Roman" w:hAnsi="Arial" w:cs="Arial"/>
                <w:noProof w:val="0"/>
                <w:color w:val="000000"/>
                <w:sz w:val="20"/>
                <w:szCs w:val="20"/>
                <w:vertAlign w:val="superscript"/>
                <w:lang w:val="vi-VN"/>
              </w:rPr>
              <w:t>2</w:t>
            </w:r>
            <w:r w:rsidRPr="00EC1B90">
              <w:rPr>
                <w:rFonts w:ascii="Arial" w:eastAsia="Times New Roman" w:hAnsi="Arial" w:cs="Arial"/>
                <w:noProof w:val="0"/>
                <w:color w:val="000000"/>
                <w:sz w:val="20"/>
                <w:szCs w:val="20"/>
                <w:lang w:val="vi-VN"/>
              </w:rPr>
              <w:t>/năm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22.</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nhà máy sản xuất sứ vệ sinh</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10.000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23.</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đường</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10.000 tấn đường/năm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24.</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bột ngọt</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5.000 tấn sản phẩm/</w:t>
            </w:r>
            <w:r w:rsidRPr="00EC1B90">
              <w:rPr>
                <w:rFonts w:ascii="Arial" w:eastAsia="Times New Roman" w:hAnsi="Arial" w:cs="Arial"/>
                <w:noProof w:val="0"/>
                <w:color w:val="000000"/>
                <w:sz w:val="20"/>
                <w:szCs w:val="20"/>
                <w:shd w:val="clear" w:color="auto" w:fill="FFFFFF"/>
                <w:lang w:val="vi-VN"/>
              </w:rPr>
              <w:t>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25.</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chế biến bột cá</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500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26.</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nhà máy sản xuất phân hóa học</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1.000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27.</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dược phẩm, thuốc thú y</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sản xuất dược phẩm, thuốc thú y không phải là vắc xin công suất dưới 50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28.</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các sản phẩm từ sơn, hóa chất, chất dẻo</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100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29.</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chất tẩy rửa, phụ gia</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100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30.</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bột giấy và giấy từ nguyên liệu thô</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300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31.</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giấy, bao bì các tông từ bột giấy hoặc phế liệu</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5.000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32.</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chế biến cao su, mủ cao su</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từ 500 đến dưới 1.000 tấn sản phẩm/năm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33.</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xây dựng cơ sở sản xuất ắc quy, pin</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Công suất dưới 50.000 KWh/năm hoặc dưới 100 tấn sản phẩm/</w:t>
            </w:r>
            <w:r w:rsidRPr="00EC1B90">
              <w:rPr>
                <w:rFonts w:ascii="Arial" w:eastAsia="Times New Roman" w:hAnsi="Arial" w:cs="Arial"/>
                <w:noProof w:val="0"/>
                <w:color w:val="000000"/>
                <w:sz w:val="20"/>
                <w:szCs w:val="20"/>
                <w:shd w:val="clear" w:color="auto" w:fill="FFFFFF"/>
                <w:lang w:val="vi-VN"/>
              </w:rPr>
              <w:t>năm</w:t>
            </w:r>
          </w:p>
        </w:tc>
      </w:tr>
      <w:tr w:rsidR="00EE4587" w:rsidRPr="00EC1B90" w:rsidTr="00655014">
        <w:trPr>
          <w:tblCellSpacing w:w="0" w:type="dxa"/>
        </w:trPr>
        <w:tc>
          <w:tcPr>
            <w:tcW w:w="2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center"/>
              <w:rPr>
                <w:rFonts w:eastAsia="Times New Roman"/>
                <w:noProof w:val="0"/>
                <w:color w:val="000000"/>
                <w:sz w:val="24"/>
                <w:szCs w:val="24"/>
              </w:rPr>
            </w:pPr>
            <w:r w:rsidRPr="00EC1B90">
              <w:rPr>
                <w:rFonts w:ascii="Arial" w:eastAsia="Times New Roman" w:hAnsi="Arial" w:cs="Arial"/>
                <w:noProof w:val="0"/>
                <w:color w:val="000000"/>
                <w:sz w:val="20"/>
                <w:szCs w:val="20"/>
                <w:lang w:val="vi-VN"/>
              </w:rPr>
              <w:t>34.</w:t>
            </w:r>
          </w:p>
        </w:tc>
        <w:tc>
          <w:tcPr>
            <w:tcW w:w="1700" w:type="pct"/>
            <w:tcBorders>
              <w:top w:val="nil"/>
              <w:left w:val="single" w:sz="8" w:space="0" w:color="auto"/>
              <w:bottom w:val="single" w:sz="8" w:space="0" w:color="auto"/>
              <w:right w:val="nil"/>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Dự án có hạng mục với quy mô tương đương hoặc tính chất tương tự các dự án thứ tự từ 1 đến 33 Phụ lục này</w:t>
            </w:r>
          </w:p>
        </w:tc>
        <w:tc>
          <w:tcPr>
            <w:tcW w:w="3000" w:type="pct"/>
            <w:tcBorders>
              <w:top w:val="nil"/>
              <w:left w:val="single" w:sz="8" w:space="0" w:color="auto"/>
              <w:bottom w:val="single" w:sz="8" w:space="0" w:color="auto"/>
              <w:right w:val="single" w:sz="8" w:space="0" w:color="auto"/>
            </w:tcBorders>
            <w:shd w:val="clear" w:color="auto" w:fill="FFFFFF"/>
            <w:hideMark/>
          </w:tcPr>
          <w:p w:rsidR="00EE4587" w:rsidRPr="00EC1B90" w:rsidRDefault="00EE4587" w:rsidP="00655014">
            <w:pPr>
              <w:spacing w:before="120" w:after="0" w:line="200" w:lineRule="atLeast"/>
              <w:ind w:firstLine="0"/>
              <w:jc w:val="left"/>
              <w:rPr>
                <w:rFonts w:eastAsia="Times New Roman"/>
                <w:noProof w:val="0"/>
                <w:color w:val="000000"/>
                <w:sz w:val="24"/>
                <w:szCs w:val="24"/>
              </w:rPr>
            </w:pPr>
            <w:r w:rsidRPr="00EC1B90">
              <w:rPr>
                <w:rFonts w:ascii="Arial" w:eastAsia="Times New Roman" w:hAnsi="Arial" w:cs="Arial"/>
                <w:noProof w:val="0"/>
                <w:color w:val="000000"/>
                <w:sz w:val="20"/>
                <w:szCs w:val="20"/>
                <w:lang w:val="vi-VN"/>
              </w:rPr>
              <w:t>Tất cả</w:t>
            </w:r>
          </w:p>
        </w:tc>
      </w:tr>
    </w:tbl>
    <w:p w:rsidR="00CE2F9A" w:rsidRPr="00EE4587" w:rsidRDefault="00CE2F9A">
      <w:pPr>
        <w:rPr>
          <w:b/>
        </w:rPr>
      </w:pPr>
    </w:p>
    <w:sectPr w:rsidR="00CE2F9A" w:rsidRPr="00EE4587" w:rsidSect="00CE2F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E4587"/>
    <w:rsid w:val="00CE2F9A"/>
    <w:rsid w:val="00E66B9B"/>
    <w:rsid w:val="00EE458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87"/>
    <w:pPr>
      <w:spacing w:before="60" w:after="120" w:line="312" w:lineRule="auto"/>
      <w:ind w:firstLine="720"/>
      <w:jc w:val="both"/>
    </w:pPr>
    <w:rPr>
      <w:rFonts w:ascii="Times New Roman" w:eastAsia="SimSun" w:hAnsi="Times New Roman" w:cs="Times New Roman"/>
      <w:noProof/>
      <w:sz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2016-07-22T08:21:00Z</dcterms:created>
  <dcterms:modified xsi:type="dcterms:W3CDTF">2016-07-22T08:54:00Z</dcterms:modified>
</cp:coreProperties>
</file>